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A0" w:rsidRDefault="007F19A0" w:rsidP="007F19A0">
      <w:pPr>
        <w:pStyle w:val="a3"/>
        <w:shd w:val="clear" w:color="auto" w:fill="FFFFFF"/>
        <w:spacing w:before="0" w:beforeAutospacing="0" w:after="210" w:afterAutospacing="0"/>
        <w:jc w:val="center"/>
        <w:rPr>
          <w:rFonts w:ascii="Arial" w:hAnsi="Arial" w:cs="Arial"/>
          <w:color w:val="000000"/>
          <w:sz w:val="21"/>
          <w:szCs w:val="21"/>
        </w:rPr>
      </w:pPr>
      <w:r>
        <w:rPr>
          <w:rFonts w:ascii="Arial" w:hAnsi="Arial" w:cs="Arial"/>
          <w:color w:val="000000"/>
          <w:sz w:val="21"/>
          <w:szCs w:val="21"/>
        </w:rPr>
        <w:t>МІНІСТЕРСТВО ОСВІТИ І НАУКИ УКРАЇНИ</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1/9-413 від 27 липня 2017 року</w:t>
      </w:r>
    </w:p>
    <w:p w:rsidR="007F19A0" w:rsidRDefault="007F19A0" w:rsidP="007F19A0">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Департаменти (управління) освіти і науки</w:t>
      </w:r>
      <w:r>
        <w:rPr>
          <w:rFonts w:ascii="Arial" w:hAnsi="Arial" w:cs="Arial"/>
          <w:color w:val="000000"/>
          <w:sz w:val="21"/>
          <w:szCs w:val="21"/>
        </w:rPr>
        <w:br/>
        <w:t>обласних, Київської міської державних адміністрацій</w:t>
      </w:r>
      <w:r>
        <w:rPr>
          <w:rFonts w:ascii="Arial" w:hAnsi="Arial" w:cs="Arial"/>
          <w:color w:val="000000"/>
          <w:sz w:val="21"/>
          <w:szCs w:val="21"/>
        </w:rPr>
        <w:br/>
      </w:r>
      <w:r>
        <w:rPr>
          <w:rFonts w:ascii="Arial" w:hAnsi="Arial" w:cs="Arial"/>
          <w:color w:val="000000"/>
          <w:sz w:val="21"/>
          <w:szCs w:val="21"/>
        </w:rPr>
        <w:br/>
        <w:t>Інститути післядипломної педагогічної освіти</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Style w:val="a4"/>
          <w:rFonts w:ascii="Arial" w:hAnsi="Arial" w:cs="Arial"/>
          <w:color w:val="000000"/>
          <w:sz w:val="21"/>
          <w:szCs w:val="21"/>
          <w:bdr w:val="none" w:sz="0" w:space="0" w:color="auto" w:frame="1"/>
        </w:rPr>
        <w:t>Про деякі питання щодо організації виховної роботи</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у навчальних закладах у 2017/2018 навчальному році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Міністерство надсилає аналітичні матеріали щодо проблемних питань, які мають місце в дитячому середовищі.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Зміст листа просимо довести до відома керівників органів управління освітою різного рівня, керівників та педагогічних працівників навчальних закладів для використання при плануванні виховної роботи з учнівськими колективами, враховуючи потенціал навчального закладу і залучаючи до освітнього процесу партнерів.</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proofErr w:type="gramStart"/>
      <w:r>
        <w:rPr>
          <w:rFonts w:ascii="Arial" w:hAnsi="Arial" w:cs="Arial"/>
          <w:color w:val="000000"/>
          <w:sz w:val="21"/>
          <w:szCs w:val="21"/>
        </w:rPr>
        <w:t>Додаток :</w:t>
      </w:r>
      <w:proofErr w:type="gramEnd"/>
      <w:r>
        <w:rPr>
          <w:rFonts w:ascii="Arial" w:hAnsi="Arial" w:cs="Arial"/>
          <w:color w:val="000000"/>
          <w:sz w:val="21"/>
          <w:szCs w:val="21"/>
        </w:rPr>
        <w:t xml:space="preserve"> на 10 арк.</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Заступник Міністра       Р. B. Греба</w:t>
      </w:r>
    </w:p>
    <w:p w:rsidR="007F19A0" w:rsidRDefault="007F19A0" w:rsidP="007F19A0">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Додаток 1</w:t>
      </w:r>
      <w:r>
        <w:rPr>
          <w:rFonts w:ascii="Arial" w:hAnsi="Arial" w:cs="Arial"/>
          <w:color w:val="000000"/>
          <w:sz w:val="21"/>
          <w:szCs w:val="21"/>
        </w:rPr>
        <w:br/>
        <w:t>до листа Міністерства освіти і науки Украіни</w:t>
      </w:r>
      <w:r>
        <w:rPr>
          <w:rFonts w:ascii="Arial" w:hAnsi="Arial" w:cs="Arial"/>
          <w:color w:val="000000"/>
          <w:sz w:val="21"/>
          <w:szCs w:val="21"/>
        </w:rPr>
        <w:br/>
        <w:t>від 27.07.2017 p. № 1/9-413</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Відповідно до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w:t>
      </w:r>
      <w:hyperlink r:id="rId4" w:tooltip="Концепція реалізації державної політики у сфері реформування загальної середньої освіти “Нова українська школа” на період до 2029 року" w:history="1">
        <w:r>
          <w:rPr>
            <w:rStyle w:val="a5"/>
            <w:rFonts w:ascii="Arial" w:hAnsi="Arial" w:cs="Arial"/>
            <w:color w:val="8C8282"/>
            <w:sz w:val="21"/>
            <w:szCs w:val="21"/>
            <w:u w:val="none"/>
            <w:bdr w:val="none" w:sz="0" w:space="0" w:color="auto" w:frame="1"/>
          </w:rPr>
          <w:t>№ 988-р</w:t>
        </w:r>
      </w:hyperlink>
      <w:r>
        <w:rPr>
          <w:rFonts w:ascii="Arial" w:hAnsi="Arial" w:cs="Arial"/>
          <w:color w:val="000000"/>
          <w:sz w:val="21"/>
          <w:szCs w:val="21"/>
        </w:rPr>
        <w:t>,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 захищати права дитини, стати місцем, безпечним для дитини, і йдеться не лише про фізичну безпеку, а й про атмосферу довіри і взаємоповаги, де немає насильства та дискримінації.</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1. За даними дослідження ЮНІСЕФ, проведеного в лютому 2017 року в усій Україні, 67 % дітей стикалися з випадками булінгу та 24% українських школярів піддавались булінгу. За наслідками війни та окупації територій маємо велику кількість внутрішньо переміщених сімей, а також дітей із посттравматичним синдромом. Сором’язливі та закриті до спілкування діти із сімей переселенців стають жертвами булінгу в 2 рази частіше за інших, тому що вони вимушені навчатись у малознайомих місцях, заводити друзів та інтегруватися заново у нове шкільне середовище, а тому потреба поширення взаємоповаги та позитивного ставлення один до одного серед дітей е дуже важливою.</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З метою 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Міністерство рекомендувало (лист від 28.12.2016 № 1/9-981) використовувати в навчально-виховному процесі навчально-методичний посібник «Розбудова миру, профілактика і вирішення конфлікту з використанням медіації: соціально-педагогічний аспект» та спецкурс курсів підвищення фахової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Науково-методичною комісією з проблем виховання дітей та учнівської молоді МОН пр. № 3 від 04.10.2016). Електронна версія зазначених матеріалів знаходиться за посиланням: </w:t>
      </w:r>
      <w:hyperlink r:id="rId5" w:history="1">
        <w:r>
          <w:rPr>
            <w:rStyle w:val="a5"/>
            <w:rFonts w:ascii="Arial" w:hAnsi="Arial" w:cs="Arial"/>
            <w:color w:val="8C8282"/>
            <w:sz w:val="21"/>
            <w:szCs w:val="21"/>
            <w:u w:val="none"/>
            <w:bdr w:val="none" w:sz="0" w:space="0" w:color="auto" w:frame="1"/>
          </w:rPr>
          <w:t>http://www.la-strada.org.ua/ucp_mod_library_showcategory_65.html</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За перше півріччя 2017 року Національна дитяча «гаряча» лінія прийняла 20 851 дзвінок від маленьких, юних та дорослих українців. Аналіз дзвінків свідчить, що переважна більшість дітей (26,5%) телефонують із питаннями щодо інформування про свої права, а також - що робити та куди звертатися, якщо дитячі права порушуються. Так само, топовими темами для дітей залишаються запити щодо психологічного здоров'я (самотність, страхи, тривога, невпевненість в собі та своїх діях тощо) - 24,7%; питання статевого виховання - 11,7%. Значно зросла кількість дзвінків (1 543 звернення) щодо насильства та жорстокого поводження з дітьми.</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lastRenderedPageBreak/>
        <w:t>Аналіз дзвінків на «Національну «гарячу» лінію свідчить, що з браком уваги та контакту з близькими людьми стикаються різні діти: з різних за достатком і статусом родин, різного віку і статі і це дає підстави зробити висновок про те, що суспільство досі на знає прав дитини і не вміє реагувати на їх порушення.</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Національна Дитяча «гаряча лінія» - для дітей та про дітей. Це означає, що «гаряча лінія» приймає дзвінки від дітей та від дорослих, чиї запити стосуються дітей. Дитяча «гаряча лінія» функціонує за безкоштовним номером 0-800-500-225 (безкоштовний з мобільних та стаціонарних номерів телефонів по всій території України). А з 1 червня 2017 року Національна дитяча «гаряча лінія» відкрила короткий номер 116 111 (безкоштовний для абонентів КиївСтар та Лайфселл), що покращило доступ дітей до отримання консультацій. Даний номер телефону запроваджений у 26 європейських країнах як узгоджений номер допомоги дітям по телефону.</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Лінія є абсолютно безкоштовною, анонімною та конфіденційною.</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На Національній дитячій "гарячій лінії консультують компетентні у дитячих питаннях психологи, юристи соціальні працівники та соціальні педагоги. Коло питань, з яких надаються консультації, досить широке і було сформовано на основі отримуваних запитів від абонентів. Основні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майнові права дітей, питання встановлення опіки, а також булінг і безпека в Інтернеті.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Дитяча «гаряча лінія» працює по будням з 12 до 20 години та в суботу з 12 до 16 години.</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Просимо поширити серед учасників навчально-виховного процесу інформацію та розмістити на сайтах навчальних закладів електронні банери Національної дитячої «гарячої» лінії: Посилання для розміщення банеру: </w:t>
      </w:r>
      <w:hyperlink r:id="rId6" w:history="1">
        <w:r>
          <w:rPr>
            <w:rStyle w:val="a5"/>
            <w:rFonts w:ascii="Arial" w:hAnsi="Arial" w:cs="Arial"/>
            <w:color w:val="8C8282"/>
            <w:sz w:val="21"/>
            <w:szCs w:val="21"/>
            <w:u w:val="none"/>
            <w:bdr w:val="none" w:sz="0" w:space="0" w:color="auto" w:frame="1"/>
          </w:rPr>
          <w:t>http://la-strada.org.ua/</w:t>
        </w:r>
      </w:hyperlink>
      <w:r>
        <w:rPr>
          <w:rFonts w:ascii="Arial" w:hAnsi="Arial" w:cs="Arial"/>
          <w:color w:val="000000"/>
          <w:sz w:val="21"/>
          <w:szCs w:val="21"/>
        </w:rPr>
        <w:t>, </w:t>
      </w:r>
      <w:hyperlink r:id="rId7" w:history="1">
        <w:r>
          <w:rPr>
            <w:rStyle w:val="a5"/>
            <w:rFonts w:ascii="Arial" w:hAnsi="Arial" w:cs="Arial"/>
            <w:color w:val="8C8282"/>
            <w:sz w:val="21"/>
            <w:szCs w:val="21"/>
            <w:u w:val="none"/>
            <w:bdr w:val="none" w:sz="0" w:space="0" w:color="auto" w:frame="1"/>
          </w:rPr>
          <w:t>http://la-strada.org.ua/ndgl_116111.gif</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2.Україна є країною походження, транзиту та призначення торгівлі чоловіками, жінками та дітьми. Зростає також проблема внутрішньої торгівлі людьми. За даними дослідження, проведеного на замовлення Представництва в Україні Міжнародної організації з міграції‚ з 1991 року понад 160 000 мігрантів постраждали від торгівлі людьми, що робить Україну однією з основних країн походження постраждалих від сучасного рабства в Європі.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Згідно інформації відділу ювенальної превенції Національної поліції в Україні за 6 місяців 2017 року 11 дітей постраждали від потрапляння в ситуацію торгівлі людьми (ст.149 ККУ), 40 дітей - від насильницького задоволення статевої пристрасті неприродним способом (ст.153 ККУ); постраждала 21 дитина‚ яка не досягла статевої зрілості, від статевих зносин із дорослими (ст.153 ККУ); вчинено 75 злочинів щодо розбещення неповнолітніх (ст. 156 ККУ) та 2 малолітні дитини використовувались для заняття жебрацтвом ст.150-1ККУ) тощо.</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Своєрідною відповіддю на нагальні потреби держави щодо запобігання та протидії торгівлі людьми як деструкції у розвитку суспільства, впровадження варіативної програми виховної роботи з питань протидії торгівлі дітьми «Особиста гідність. Безпека життя. Громадянська позиція» для загальноосвітніх навчальних закладів, що є одним із завдань Державної соціальної програми протидії торгівлі людьми на період до 2020 року (п. 2.7, 2.9) та планом заходів Міністерства освіти і науки України щодо запобігання торгівлі людьми до 2020 року (наказ № 405 від 8 квітня 2016).</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 метою проведення ефективної і педагогічно-унормованої діяльності щодо профілактики та запобігання торгівлі людьми рекомендуємо у 2017/2018 навчальному році впроваджувати гуртки та факультативні заняття для учнів 7-10 класів, які 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16.06.2017) та Вченою радою Інституту проблем виховання НАПН України (протокол № 6 від 29 травня 2017 р.)</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Програма гуртків та факультативів «Особиста гідність. Безпека життя. Громадянська позиція» для учнів 7-10 класів розроблені на основі матеріалів зазначеної вище комплексної програми і 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 (Автор-упорядник: Петрочко Ж. В., д. п. наук, </w:t>
      </w:r>
      <w:r>
        <w:rPr>
          <w:rFonts w:ascii="Arial" w:hAnsi="Arial" w:cs="Arial"/>
          <w:color w:val="000000"/>
          <w:sz w:val="21"/>
          <w:szCs w:val="21"/>
        </w:rPr>
        <w:lastRenderedPageBreak/>
        <w:t>професор, заступник директора з науково-експериментальної роботи Інституту проблем виховання НАПН України).</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Електронний ресурс зазначених матеріалів за посиланням: </w:t>
      </w:r>
      <w:hyperlink r:id="rId8" w:history="1">
        <w:r>
          <w:rPr>
            <w:rStyle w:val="a5"/>
            <w:rFonts w:ascii="Arial" w:hAnsi="Arial" w:cs="Arial"/>
            <w:color w:val="8C8282"/>
            <w:sz w:val="21"/>
            <w:szCs w:val="21"/>
            <w:u w:val="none"/>
            <w:bdr w:val="none" w:sz="0" w:space="0" w:color="auto" w:frame="1"/>
          </w:rPr>
          <w:t>http://mon.gov.ua/activity/education/pozashkilna-osvita/vyhovna-robota/protidiya-torgivli-lyudmi.html</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При проведенні просвітницької роботи з питань запобігання торгівлі людьми доцільно використовувати посібник «Соціально-педагогічні основи захисту прав людини, протиді`1` торгівлі людьми та експлуатації дітей», який включає курс за вибором/факультатив «Запобігання торгівлі людьми» для учнів 9-11(12) класів навчальних закладів, учнів професійно-технічних навчальних закладів та курс за вибором/факультатив «Знай та захищай свої права» для учнів 7-9 класів навчальних закладів).Матеріали схвалені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4.10.2016. Матеріали можна знайти у вільному доступі на сайті ГО «Ла Страда-Украіна» </w:t>
      </w:r>
      <w:hyperlink r:id="rId9" w:history="1">
        <w:r>
          <w:rPr>
            <w:rStyle w:val="a5"/>
            <w:rFonts w:ascii="Arial" w:hAnsi="Arial" w:cs="Arial"/>
            <w:color w:val="8C8282"/>
            <w:sz w:val="21"/>
            <w:szCs w:val="21"/>
            <w:u w:val="none"/>
            <w:bdr w:val="none" w:sz="0" w:space="0" w:color="auto" w:frame="1"/>
          </w:rPr>
          <w:t>www.la-strada.org.ua</w:t>
        </w:r>
      </w:hyperlink>
      <w:r>
        <w:rPr>
          <w:rFonts w:ascii="Arial" w:hAnsi="Arial" w:cs="Arial"/>
          <w:color w:val="000000"/>
          <w:sz w:val="21"/>
          <w:szCs w:val="21"/>
        </w:rPr>
        <w:t>, або на сторінці в Фейсбук </w:t>
      </w:r>
      <w:hyperlink r:id="rId10" w:history="1">
        <w:r>
          <w:rPr>
            <w:rStyle w:val="a5"/>
            <w:rFonts w:ascii="Arial" w:hAnsi="Arial" w:cs="Arial"/>
            <w:color w:val="8C8282"/>
            <w:sz w:val="21"/>
            <w:szCs w:val="21"/>
            <w:u w:val="none"/>
            <w:bdr w:val="none" w:sz="0" w:space="0" w:color="auto" w:frame="1"/>
          </w:rPr>
          <w:t>https://www.facebook.com/lastradaukraine</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3. Сучасні діти і підлітки значно випереджають своїх батьків в умінні користуватися комп’ютером, зокрема Інтернетом, і годинами спілкуються в соціальних мережах. Інтернет став невід’ємною частиною їхнього життя. Він може бути дуже корисним для загального розвитку, навчання, творчого самовираження і пошуку однодумців. Але він може бути й небезпечним: через малий життєвий досвід юні користувачі не завжди в змозі розпізнати ризики, які можуть трапитися їм у мережі.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Зосереджуємо увагу на загрозливій ситуації, яка почала поширюватися в Україні в дитячому середовищі з середини 2016 року. Йдеться насамперед про так звані «смертельні </w:t>
      </w:r>
      <w:proofErr w:type="gramStart"/>
      <w:r>
        <w:rPr>
          <w:rFonts w:ascii="Arial" w:hAnsi="Arial" w:cs="Arial"/>
          <w:color w:val="000000"/>
          <w:sz w:val="21"/>
          <w:szCs w:val="21"/>
        </w:rPr>
        <w:t>квести»‚</w:t>
      </w:r>
      <w:proofErr w:type="gramEnd"/>
      <w:r>
        <w:rPr>
          <w:rFonts w:ascii="Arial" w:hAnsi="Arial" w:cs="Arial"/>
          <w:color w:val="000000"/>
          <w:sz w:val="21"/>
          <w:szCs w:val="21"/>
        </w:rPr>
        <w:t xml:space="preserve"> які ширилися соціальною мережею «ВКонтакте». Варто розуміти‚ що поширення цих небезпечних квестів відображає проблеми, які є не лише в дітей, а й y суспільстві загалом, насамперед у ставленні дорослих до дітей. Нерозуміння, неувага до дитячого життя, брак часу, байдужість до проблем, які хвилюють дітей, зверхність або, навпаки, надмірний контроль та гіперопіка, накопичуючись, призводять до формування закритості дитини, відчуття в неї самотності та непотрібності, пошуку можливих виходів із складних життєвих ситуацій відповідно до її рішень та можливостей. Один з таких шляхів, відомий з давних часів, - втеча від реальності, який у наші часи спростився завдяки створенню віртуального світу, віртуальних друзів, віртуального спілкування та віртуального життя, в якому і смерть здається віртуальною.</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З метою запобігання втягненню дітей у небезпечні квести,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суїцидальна поведінка, повага до себе та до інших, розуміння та вміння говорити про власні проблеми рекомендуємо скористатися методичними рекомендаціями: «Небезпечні квести для дітей: профілактика залучення»(схвалені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№3 від 16.06.2017). Матеріали можна знайти у вільному доступі на сайті ГО «Ла Страда-Украіна» </w:t>
      </w:r>
      <w:hyperlink r:id="rId11" w:history="1">
        <w:r>
          <w:rPr>
            <w:rStyle w:val="a5"/>
            <w:rFonts w:ascii="Arial" w:hAnsi="Arial" w:cs="Arial"/>
            <w:color w:val="8C8282"/>
            <w:sz w:val="21"/>
            <w:szCs w:val="21"/>
            <w:u w:val="none"/>
            <w:bdr w:val="none" w:sz="0" w:space="0" w:color="auto" w:frame="1"/>
          </w:rPr>
          <w:t>www.la-strada.org.ua</w:t>
        </w:r>
      </w:hyperlink>
      <w:r>
        <w:rPr>
          <w:rFonts w:ascii="Arial" w:hAnsi="Arial" w:cs="Arial"/>
          <w:color w:val="000000"/>
          <w:sz w:val="21"/>
          <w:szCs w:val="21"/>
        </w:rPr>
        <w:t>, або на сторінці в Фейсбук </w:t>
      </w:r>
      <w:hyperlink r:id="rId12" w:history="1">
        <w:r>
          <w:rPr>
            <w:rStyle w:val="a5"/>
            <w:rFonts w:ascii="Arial" w:hAnsi="Arial" w:cs="Arial"/>
            <w:color w:val="8C8282"/>
            <w:sz w:val="21"/>
            <w:szCs w:val="21"/>
            <w:u w:val="none"/>
            <w:bdr w:val="none" w:sz="0" w:space="0" w:color="auto" w:frame="1"/>
          </w:rPr>
          <w:t>www.facebook.com/lastradaukraine</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 Особливої уваги педагогічних колективів та батьківської громадськості потребують питання профілактики девіантної поведінки, правопорушень та злочинності серед неповнолітніх. Не дивлячись на те, що за 6 місяців 2017 року підрозділами ювенальної превенції Національної поліції України зареєстровано зменшення на 4,6% кримінальних правопорушень y порівнянні із аналогічним періодом 2016 року, вчинених дітьми та за їх участю, статистика цих правопорушень невтішна. Зокрема, дітьми та за їх участю вчинено: 1816 тяжких та особливо тяжких злочинів; 19 умисних вбивств, 8 згвалтувань; 33 грабежі та 89 неповнолітніх притягнуті до відповідальності за незаконний обіг наркотиків тощо. Звертаємо увагу, що 60,8 % від загальної кількості кримінальних правопорушень, вчинених дітьми та за їх участю, складають крадіжки (2 248). Статистична інформація Національної поліції України додається (</w:t>
      </w:r>
      <w:hyperlink r:id="rId13" w:history="1">
        <w:r>
          <w:rPr>
            <w:rStyle w:val="a5"/>
            <w:rFonts w:ascii="Arial" w:hAnsi="Arial" w:cs="Arial"/>
            <w:color w:val="8C8282"/>
            <w:sz w:val="21"/>
            <w:szCs w:val="21"/>
            <w:u w:val="none"/>
            <w:bdr w:val="none" w:sz="0" w:space="0" w:color="auto" w:frame="1"/>
          </w:rPr>
          <w:t>додаток 2</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Аналіз правопорушень, вчинених неповнолітніми, свідчить, що основними причинами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хибна оцінка складних життєвих ситуацій тощо.</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lastRenderedPageBreak/>
        <w:t>Враховуючи зазначене вище, Міністерство рекомендує впроваджувати в загальноосвітніх навчальних закладах факультативні курси, які орієнтовані на підсилення психологічної складової у вихованні дітей та учнівської молоді.</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Для організаційно-методичного забезпечення викладання факультативних курсів працівниками психологічної служби Міністерство надсилало (лист від 06.06.2013 </w:t>
      </w:r>
      <w:hyperlink r:id="rId14" w:history="1">
        <w:r>
          <w:rPr>
            <w:rStyle w:val="a5"/>
            <w:rFonts w:ascii="Arial" w:hAnsi="Arial" w:cs="Arial"/>
            <w:color w:val="8C8282"/>
            <w:sz w:val="21"/>
            <w:szCs w:val="21"/>
            <w:u w:val="none"/>
            <w:bdr w:val="none" w:sz="0" w:space="0" w:color="auto" w:frame="1"/>
          </w:rPr>
          <w:t>№ 1/9-413</w:t>
        </w:r>
      </w:hyperlink>
      <w:r>
        <w:rPr>
          <w:rFonts w:ascii="Arial" w:hAnsi="Arial" w:cs="Arial"/>
          <w:color w:val="000000"/>
          <w:sz w:val="21"/>
          <w:szCs w:val="21"/>
        </w:rPr>
        <w:t>) переліки програм факультативних курсів, курсів за вибором та спецкурсів для застосування в роботі працівників психологічної служби, рекомендованих для використання в початковій школі та електронні переліки програм факультативних курсів для застосування в роботі працівників психологічної служби,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№14.1/12-Г-165 від 15.05.2013 р.). Зміст програм представлений у варіантах з кількістю 17, 35, 52 та 70 годин, які реалізуються за рахунок годин варіативної складової навчальних планів загальноосвітніх навчальних закладів.</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Зазначений перелік програм розміщений на сайтах: </w:t>
      </w:r>
      <w:hyperlink r:id="rId15" w:history="1">
        <w:r>
          <w:rPr>
            <w:rStyle w:val="a5"/>
            <w:rFonts w:ascii="Arial" w:hAnsi="Arial" w:cs="Arial"/>
            <w:color w:val="8C8282"/>
            <w:sz w:val="21"/>
            <w:szCs w:val="21"/>
            <w:u w:val="none"/>
            <w:bdr w:val="none" w:sz="0" w:space="0" w:color="auto" w:frame="1"/>
          </w:rPr>
          <w:t>www.mon.gov.ua</w:t>
        </w:r>
      </w:hyperlink>
      <w:r>
        <w:rPr>
          <w:rFonts w:ascii="Arial" w:hAnsi="Arial" w:cs="Arial"/>
          <w:color w:val="000000"/>
          <w:sz w:val="21"/>
          <w:szCs w:val="21"/>
        </w:rPr>
        <w:t>, </w:t>
      </w:r>
      <w:hyperlink r:id="rId16" w:history="1">
        <w:r>
          <w:rPr>
            <w:rStyle w:val="a5"/>
            <w:rFonts w:ascii="Arial" w:hAnsi="Arial" w:cs="Arial"/>
            <w:color w:val="8C8282"/>
            <w:sz w:val="21"/>
            <w:szCs w:val="21"/>
            <w:u w:val="none"/>
            <w:bdr w:val="none" w:sz="0" w:space="0" w:color="auto" w:frame="1"/>
          </w:rPr>
          <w:t>www.psyua.com.ua</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Ha допомогу педагогічним працівникам, які працюють із дітьми групи «ризику», корисними будуть матеріали, розміщеними на інформаційній онлайн-платформі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w:t>
      </w:r>
      <w:hyperlink r:id="rId17" w:history="1">
        <w:r>
          <w:rPr>
            <w:rStyle w:val="a5"/>
            <w:rFonts w:ascii="Arial" w:hAnsi="Arial" w:cs="Arial"/>
            <w:color w:val="8C8282"/>
            <w:sz w:val="21"/>
            <w:szCs w:val="21"/>
            <w:u w:val="none"/>
            <w:bdr w:val="none" w:sz="0" w:space="0" w:color="auto" w:frame="1"/>
          </w:rPr>
          <w:t>http://knowledge.org.ua/</w:t>
        </w:r>
      </w:hyperlink>
      <w:r>
        <w:rPr>
          <w:rFonts w:ascii="Arial" w:hAnsi="Arial" w:cs="Arial"/>
          <w:color w:val="000000"/>
          <w:sz w:val="21"/>
          <w:szCs w:val="21"/>
        </w:rPr>
        <w:t>.</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5. Державною установою «Український моніторинговий та медичний центр з наркотиків та алкоголю» Міністерства охорони здоров’я України підготовлено Національний звіт щодо наркотичної ситуації в Україні, в якому зазначається, що загальна кількість підлітків груп ризику, з урахуванням оновлених даних за 2015 р., оцінюється у 129 000 осіб віком від 10 до 19 років включно. Діти все більше потрапляють до груп ризику інфікування ВІЛ/ СНІДом, і зусилля, що робляться з їх захисту, все ще не достатні.</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зв’язку із зазначеним вище рекомендуємо продовжувати розроблення сучасних інформаційно-освітніх програм первинної профілактики залежностей та шкідливих звичок, включаючи заходи щодо залучення дітей та молоді до спорту, творчості, мистецтва, інших громадських заходів із пропаганди здорового способу життя та забезпечити подальше впровадження інформаційно-освітньої протиалкогольної програми «Сімейна розмова» для учнів 7-8 класів загальноосвітніх навчальних закладів.</w:t>
      </w:r>
    </w:p>
    <w:p w:rsidR="007F19A0" w:rsidRDefault="007F19A0" w:rsidP="007F19A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www.autta.org.ua.</w:t>
      </w:r>
    </w:p>
    <w:p w:rsidR="007F19A0" w:rsidRDefault="007F19A0" w:rsidP="007F19A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Міністерство скеровує увагу та надсилає перелік важливих пам’ятних та ювілейних дат та міжнародних пам’ятних та ювілейних дат з проханням передбачити заходи у планах роботи навчальних закладів у 2017/2018 навчальному році (</w:t>
      </w:r>
      <w:hyperlink r:id="rId18" w:history="1">
        <w:r>
          <w:rPr>
            <w:rStyle w:val="a5"/>
            <w:rFonts w:ascii="Arial" w:hAnsi="Arial" w:cs="Arial"/>
            <w:color w:val="8C8282"/>
            <w:sz w:val="21"/>
            <w:szCs w:val="21"/>
            <w:u w:val="none"/>
            <w:bdr w:val="none" w:sz="0" w:space="0" w:color="auto" w:frame="1"/>
          </w:rPr>
          <w:t>додаток 3</w:t>
        </w:r>
      </w:hyperlink>
      <w:r>
        <w:rPr>
          <w:rFonts w:ascii="Arial" w:hAnsi="Arial" w:cs="Arial"/>
          <w:color w:val="000000"/>
          <w:sz w:val="21"/>
          <w:szCs w:val="21"/>
        </w:rPr>
        <w:t>).</w:t>
      </w:r>
    </w:p>
    <w:p w:rsidR="00492821" w:rsidRDefault="00492821">
      <w:bookmarkStart w:id="0" w:name="_GoBack"/>
      <w:bookmarkEnd w:id="0"/>
    </w:p>
    <w:sectPr w:rsidR="00492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0"/>
    <w:rsid w:val="00492821"/>
    <w:rsid w:val="007F19A0"/>
    <w:rsid w:val="0083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3A2AD-F94E-41EE-8C60-BB910FE5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9A0"/>
    <w:rPr>
      <w:b/>
      <w:bCs/>
    </w:rPr>
  </w:style>
  <w:style w:type="character" w:styleId="a5">
    <w:name w:val="Hyperlink"/>
    <w:basedOn w:val="a0"/>
    <w:uiPriority w:val="99"/>
    <w:semiHidden/>
    <w:unhideWhenUsed/>
    <w:rsid w:val="007F1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pozashkilna-osvita/vyhovna-robota/protidiya-torgivli-lyudmi.html" TargetMode="External"/><Relationship Id="rId13" Type="http://schemas.openxmlformats.org/officeDocument/2006/relationships/hyperlink" Target="http://osvita.ua/doc/files/news/568/56857/list_1_9-413.pdf" TargetMode="External"/><Relationship Id="rId18" Type="http://schemas.openxmlformats.org/officeDocument/2006/relationships/hyperlink" Target="http://osvita.ua/doc/files/news/568/56857/list_1_9-413_1.pdf" TargetMode="External"/><Relationship Id="rId3" Type="http://schemas.openxmlformats.org/officeDocument/2006/relationships/webSettings" Target="webSettings.xml"/><Relationship Id="rId7" Type="http://schemas.openxmlformats.org/officeDocument/2006/relationships/hyperlink" Target="http://la-strada.org.ua/ndgl_116111.gif" TargetMode="External"/><Relationship Id="rId12" Type="http://schemas.openxmlformats.org/officeDocument/2006/relationships/hyperlink" Target="http://www.facebook.com/lastradaukraine" TargetMode="External"/><Relationship Id="rId17" Type="http://schemas.openxmlformats.org/officeDocument/2006/relationships/hyperlink" Target="http://knowledge.org.ua/" TargetMode="External"/><Relationship Id="rId2" Type="http://schemas.openxmlformats.org/officeDocument/2006/relationships/settings" Target="settings.xml"/><Relationship Id="rId16" Type="http://schemas.openxmlformats.org/officeDocument/2006/relationships/hyperlink" Target="http://www.psyua.com.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strada.org.ua/" TargetMode="External"/><Relationship Id="rId11" Type="http://schemas.openxmlformats.org/officeDocument/2006/relationships/hyperlink" Target="http://www.la-strada.org.ua/" TargetMode="External"/><Relationship Id="rId5" Type="http://schemas.openxmlformats.org/officeDocument/2006/relationships/hyperlink" Target="http://www.la-strada.org.ua/ucp_mod_library_showcategory_65.html" TargetMode="External"/><Relationship Id="rId15" Type="http://schemas.openxmlformats.org/officeDocument/2006/relationships/hyperlink" Target="http://www.mon.gov.ua/" TargetMode="External"/><Relationship Id="rId10" Type="http://schemas.openxmlformats.org/officeDocument/2006/relationships/hyperlink" Target="https://www.facebook.com/lastradaukraine" TargetMode="External"/><Relationship Id="rId19" Type="http://schemas.openxmlformats.org/officeDocument/2006/relationships/fontTable" Target="fontTable.xml"/><Relationship Id="rId4" Type="http://schemas.openxmlformats.org/officeDocument/2006/relationships/hyperlink" Target="http://osvita.ua/legislation/Ser_osv/54258/" TargetMode="External"/><Relationship Id="rId9" Type="http://schemas.openxmlformats.org/officeDocument/2006/relationships/hyperlink" Target="http://www.la-strada.org.ua/" TargetMode="External"/><Relationship Id="rId14" Type="http://schemas.openxmlformats.org/officeDocument/2006/relationships/hyperlink" Target="http://osvita.ua/legislation/Ser_osv/36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2017-09-08T08:30:00Z</dcterms:created>
  <dcterms:modified xsi:type="dcterms:W3CDTF">2017-09-08T09:00:00Z</dcterms:modified>
</cp:coreProperties>
</file>